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5E0B4" w:themeColor="accent6" w:themeTint="66"/>
  <w:body>
    <w:p w14:paraId="74E8E8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小标宋简体" w:cs="Times New Roman"/>
          <w:bCs/>
          <w:sz w:val="28"/>
          <w:szCs w:val="28"/>
          <w:lang w:eastAsia="zh-CN"/>
        </w:rPr>
      </w:pPr>
      <w:bookmarkStart w:id="0" w:name="_GoBack"/>
      <w:bookmarkEnd w:id="0"/>
    </w:p>
    <w:p w14:paraId="11E6AF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872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起草说明</w:t>
      </w:r>
    </w:p>
    <w:p w14:paraId="0E8C8D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1F5C8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 w14:paraId="2D2763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为进一步规范全省城乡居民大病保险制度运行，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按照国家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要求，结合我省实际，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由省医疗保障局牵头起草《关于完善全省城乡居民大病保险有关政策的通知（征求意见稿）》，通过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优化大病保险筹资、待遇、支付等各项政策，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进一步规范大病保险制度运行，强化保障能力，优化待遇结构，防范基金运行风险，更加稳定发挥大病保险减负效能。</w:t>
      </w:r>
    </w:p>
    <w:p w14:paraId="01898F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主要政策</w:t>
      </w:r>
    </w:p>
    <w:p w14:paraId="581589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（一）完善筹资机制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大病保险资金从居民医保基金中划拨，全省执行统一筹资标准。现阶段按105元执行，当该标准低于上年度居民医保筹资总额的6%时，结合实际予以调整。</w:t>
      </w:r>
    </w:p>
    <w:p w14:paraId="167F5D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（二）规范待遇标准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在保障范围方面，继续保持现有保障范围不变，主要保障医保住院及参照住院待遇支付的政策范围内个人自付部分。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报销标准方面，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起付标准由各统筹区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结合实际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确定，原则上不高于上年度全省城乡居民人均可支配收入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支付比例分段支付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，起付标准以上至10万元（含）支付60%、10-20万元（含）支付70%、20万元以上至最高支付限额以下（含）支付80%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最高支付限额40万元。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支付范围方面，大病保险参照基本医保支付范围执行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，不含基本医疗保险目录乙类个人先行自付部分、超医保支付标准部分及目录外部分等费用。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实施倾斜保障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大病保险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对城乡低保对象、城乡特困人员和返贫致贫人口给予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倾斜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保障，起付标准降低50%，支付比例提高5个百分点。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继续做好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激励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约束工作。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2025年起，连续参保满4年后每多缴1年，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大病保险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最高支付限额提高1%；当年零报销参保人员次年最高支付限额提高1%，累计提高总额不超过20%，零报销奖励额度使用后清零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断保人员再参保时，每断保1年最高支付限额降低1%，最高降低不超过20%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7FFB3A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）强化运行管理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大病保险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统筹层次与基本医保同步，推进“基本+大病”一体化统筹管理，提升支付方式、基金监管等多方面运行效率。 按“以收定支、收支平衡”原则编制预算，规范账套管理和会计核算，明确结余结转、超支解决方式，杜绝居民医保基金垫付。加强监督检查，打击医疗机构诱导住院、欺诈骗保等违规行为，优化经办服务，将大病保险纳入支付方式改革和定点机构考核，提升智能化监管水平。</w:t>
      </w:r>
    </w:p>
    <w:p w14:paraId="1E611D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B2B1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871" w:left="1588" w:header="737" w:footer="992" w:gutter="0"/>
      <w:pgNumType w:fmt="numberInDash"/>
      <w:cols w:space="0" w:num="1"/>
      <w:rtlGutter w:val="0"/>
      <w:docGrid w:type="linesAndChars" w:linePitch="58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BBCEC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6984901">
                <w:pPr>
                  <w:pStyle w:val="2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6DC9E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292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084602"/>
    <w:rsid w:val="000250E9"/>
    <w:rsid w:val="00084F04"/>
    <w:rsid w:val="00142AE3"/>
    <w:rsid w:val="00232742"/>
    <w:rsid w:val="00346374"/>
    <w:rsid w:val="00400025"/>
    <w:rsid w:val="00415C4F"/>
    <w:rsid w:val="004350B1"/>
    <w:rsid w:val="004618F9"/>
    <w:rsid w:val="00475621"/>
    <w:rsid w:val="004F0C2D"/>
    <w:rsid w:val="004F664A"/>
    <w:rsid w:val="005A2914"/>
    <w:rsid w:val="005D6DF1"/>
    <w:rsid w:val="005E17B6"/>
    <w:rsid w:val="00601C40"/>
    <w:rsid w:val="0060576B"/>
    <w:rsid w:val="00614B89"/>
    <w:rsid w:val="0074625C"/>
    <w:rsid w:val="00812C95"/>
    <w:rsid w:val="00867A6C"/>
    <w:rsid w:val="0091034B"/>
    <w:rsid w:val="00A0298C"/>
    <w:rsid w:val="00B13BD3"/>
    <w:rsid w:val="00C333CE"/>
    <w:rsid w:val="00DC5276"/>
    <w:rsid w:val="00F22D93"/>
    <w:rsid w:val="00F54E02"/>
    <w:rsid w:val="00F8548F"/>
    <w:rsid w:val="03AC38D7"/>
    <w:rsid w:val="03CB650B"/>
    <w:rsid w:val="06247A3E"/>
    <w:rsid w:val="07D40D1B"/>
    <w:rsid w:val="0BD82BEB"/>
    <w:rsid w:val="0E4049F6"/>
    <w:rsid w:val="12F7631F"/>
    <w:rsid w:val="15D712EF"/>
    <w:rsid w:val="15E9696B"/>
    <w:rsid w:val="18607B86"/>
    <w:rsid w:val="192A3278"/>
    <w:rsid w:val="1B116650"/>
    <w:rsid w:val="1B1557B6"/>
    <w:rsid w:val="1CDB3FED"/>
    <w:rsid w:val="20874B01"/>
    <w:rsid w:val="23084602"/>
    <w:rsid w:val="28F32CB6"/>
    <w:rsid w:val="2A9A0D6F"/>
    <w:rsid w:val="2C5F5047"/>
    <w:rsid w:val="2EEF31AA"/>
    <w:rsid w:val="30E921E9"/>
    <w:rsid w:val="30E97FB7"/>
    <w:rsid w:val="36201420"/>
    <w:rsid w:val="3C9B6C06"/>
    <w:rsid w:val="4038546A"/>
    <w:rsid w:val="456C3E03"/>
    <w:rsid w:val="457E3A00"/>
    <w:rsid w:val="46DA1AAB"/>
    <w:rsid w:val="4760357D"/>
    <w:rsid w:val="485C4A8E"/>
    <w:rsid w:val="48636F43"/>
    <w:rsid w:val="49820202"/>
    <w:rsid w:val="51940228"/>
    <w:rsid w:val="547063C3"/>
    <w:rsid w:val="56417264"/>
    <w:rsid w:val="56B86A62"/>
    <w:rsid w:val="5CB6448A"/>
    <w:rsid w:val="5E3D53B0"/>
    <w:rsid w:val="622443B0"/>
    <w:rsid w:val="627A76E8"/>
    <w:rsid w:val="62BB402F"/>
    <w:rsid w:val="667E6643"/>
    <w:rsid w:val="66FD5AA7"/>
    <w:rsid w:val="671D43F9"/>
    <w:rsid w:val="6D535020"/>
    <w:rsid w:val="6E9D73AD"/>
    <w:rsid w:val="780C671B"/>
    <w:rsid w:val="D7AF011F"/>
    <w:rsid w:val="F9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macbookpro/Library/Containers/com.kingsoft.wpsoffice.mac/Data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D3637C-2465-4D86-93B6-8654321CCD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887</Words>
  <Characters>915</Characters>
  <Lines>1</Lines>
  <Paragraphs>1</Paragraphs>
  <TotalTime>14</TotalTime>
  <ScaleCrop>false</ScaleCrop>
  <LinksUpToDate>false</LinksUpToDate>
  <CharactersWithSpaces>917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2018-05-10T09:53:00Z</dcterms:created>
  <dc:creator>Administrator</dc:creator>
  <cp:lastModifiedBy>赵家家</cp:lastModifiedBy>
  <cp:lastPrinted>2018-11-24T15:24:00Z</cp:lastPrinted>
  <dcterms:modified xsi:type="dcterms:W3CDTF">2025-11-25T17:01:56Z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11B9A859012741DAAACB27DB846483BB</vt:lpwstr>
  </property>
  <property fmtid="{D5CDD505-2E9C-101B-9397-08002B2CF9AE}" pid="4" name="KSOTemplateDocerSaveRecord">
    <vt:lpwstr>eyJoZGlkIjoiN2JiYWEwMmJkMjk4ZWRmMTdjMjZmMmM2NGQyZDIwOGMiLCJ1c2VySWQiOiI1MjMyMTUwOTAifQ==</vt:lpwstr>
  </property>
</Properties>
</file>